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DF" w:rsidRPr="001459EE" w:rsidRDefault="00735E95" w:rsidP="001459EE">
      <w:pPr>
        <w:jc w:val="center"/>
        <w:rPr>
          <w:b/>
          <w:color w:val="365F91" w:themeColor="accent1" w:themeShade="BF"/>
        </w:rPr>
      </w:pPr>
      <w:r>
        <w:rPr>
          <w:b/>
          <w:color w:val="365F91" w:themeColor="accent1" w:themeShade="BF"/>
        </w:rPr>
        <w:t xml:space="preserve"> </w:t>
      </w:r>
      <w:r w:rsidRPr="001F0DDF">
        <w:rPr>
          <w:b/>
          <w:sz w:val="32"/>
          <w:szCs w:val="32"/>
        </w:rPr>
        <w:t xml:space="preserve">Recomendaciones de carácter general para la estimación de los montos en los diferentes rubros y conceptos incluidos en la </w:t>
      </w:r>
      <w:r>
        <w:rPr>
          <w:b/>
          <w:sz w:val="32"/>
          <w:szCs w:val="32"/>
        </w:rPr>
        <w:t>estructura de ley de ingresos de</w:t>
      </w:r>
      <w:r w:rsidR="00805A01">
        <w:rPr>
          <w:b/>
          <w:sz w:val="32"/>
          <w:szCs w:val="32"/>
        </w:rPr>
        <w:t xml:space="preserve">l Municipio de </w:t>
      </w:r>
      <w:r w:rsidR="00545726">
        <w:rPr>
          <w:b/>
          <w:sz w:val="32"/>
          <w:szCs w:val="32"/>
        </w:rPr>
        <w:t>Parácuaro</w:t>
      </w:r>
      <w:r w:rsidR="008E515C">
        <w:rPr>
          <w:b/>
          <w:sz w:val="32"/>
          <w:szCs w:val="32"/>
        </w:rPr>
        <w:t xml:space="preserve"> ejercicio 202</w:t>
      </w:r>
      <w:r w:rsidR="00726EDE">
        <w:rPr>
          <w:b/>
          <w:sz w:val="32"/>
          <w:szCs w:val="32"/>
        </w:rPr>
        <w:t>5</w:t>
      </w:r>
      <w:r w:rsidR="00805A01">
        <w:rPr>
          <w:b/>
          <w:sz w:val="32"/>
          <w:szCs w:val="32"/>
        </w:rPr>
        <w:t>.</w:t>
      </w:r>
    </w:p>
    <w:tbl>
      <w:tblPr>
        <w:tblW w:w="16600" w:type="dxa"/>
        <w:tblInd w:w="55" w:type="dxa"/>
        <w:tblCellMar>
          <w:left w:w="70" w:type="dxa"/>
          <w:right w:w="70" w:type="dxa"/>
        </w:tblCellMar>
        <w:tblLook w:val="04A0" w:firstRow="1" w:lastRow="0" w:firstColumn="1" w:lastColumn="0" w:noHBand="0" w:noVBand="1"/>
      </w:tblPr>
      <w:tblGrid>
        <w:gridCol w:w="181"/>
        <w:gridCol w:w="1253"/>
        <w:gridCol w:w="1485"/>
        <w:gridCol w:w="4184"/>
        <w:gridCol w:w="9497"/>
      </w:tblGrid>
      <w:tr w:rsidR="00E90C39" w:rsidRPr="00E90C39"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0C39" w:rsidRPr="00E90C39" w:rsidRDefault="00E90C39" w:rsidP="00E90C39">
            <w:pPr>
              <w:jc w:val="cente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CONCEPTOS DE INGRESOS</w:t>
            </w:r>
          </w:p>
        </w:tc>
        <w:tc>
          <w:tcPr>
            <w:tcW w:w="9497" w:type="dxa"/>
            <w:tcBorders>
              <w:top w:val="single" w:sz="4" w:space="0" w:color="auto"/>
              <w:left w:val="nil"/>
              <w:bottom w:val="single" w:sz="4" w:space="0" w:color="auto"/>
              <w:right w:val="single" w:sz="4" w:space="0" w:color="auto"/>
            </w:tcBorders>
            <w:shd w:val="clear" w:color="auto" w:fill="auto"/>
            <w:noWrap/>
            <w:vAlign w:val="bottom"/>
            <w:hideMark/>
          </w:tcPr>
          <w:p w:rsidR="00E90C39" w:rsidRPr="00E90C39" w:rsidRDefault="00E90C39" w:rsidP="00E90C39">
            <w:pPr>
              <w:jc w:val="center"/>
              <w:rPr>
                <w:rFonts w:ascii="Calibri" w:eastAsia="Times New Roman" w:hAnsi="Calibri" w:cs="Calibri"/>
                <w:b/>
                <w:color w:val="000000"/>
                <w:sz w:val="20"/>
                <w:szCs w:val="20"/>
                <w:lang w:eastAsia="es-MX"/>
              </w:rPr>
            </w:pPr>
            <w:r w:rsidRPr="00E90C39">
              <w:rPr>
                <w:rFonts w:ascii="Calibri" w:eastAsia="Times New Roman" w:hAnsi="Calibri" w:cs="Calibri"/>
                <w:b/>
                <w:color w:val="000000"/>
                <w:sz w:val="20"/>
                <w:szCs w:val="20"/>
                <w:lang w:eastAsia="es-MX"/>
              </w:rPr>
              <w:t>RECOMENDACIONES</w:t>
            </w:r>
          </w:p>
          <w:p w:rsidR="00E90C39" w:rsidRPr="00E90C39" w:rsidRDefault="00E90C39" w:rsidP="00E90C39">
            <w:pPr>
              <w:rPr>
                <w:rFonts w:ascii="Calibri" w:eastAsia="Times New Roman" w:hAnsi="Calibri" w:cs="Calibri"/>
                <w:color w:val="000000"/>
                <w:sz w:val="20"/>
                <w:szCs w:val="20"/>
                <w:lang w:eastAsia="es-MX"/>
              </w:rPr>
            </w:pPr>
          </w:p>
        </w:tc>
      </w:tr>
      <w:tr w:rsidR="00E90C39" w:rsidRPr="00E90C39"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0C39" w:rsidRPr="00E90C39" w:rsidRDefault="00E90C39" w:rsidP="00E90C39">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IMPUESTOS.</w:t>
            </w:r>
          </w:p>
        </w:tc>
        <w:tc>
          <w:tcPr>
            <w:tcW w:w="9497" w:type="dxa"/>
            <w:tcBorders>
              <w:top w:val="nil"/>
              <w:left w:val="nil"/>
              <w:bottom w:val="single" w:sz="4" w:space="0" w:color="auto"/>
              <w:right w:val="single" w:sz="4" w:space="0" w:color="auto"/>
            </w:tcBorders>
            <w:shd w:val="clear" w:color="auto" w:fill="auto"/>
            <w:noWrap/>
            <w:vAlign w:val="bottom"/>
            <w:hideMark/>
          </w:tcPr>
          <w:p w:rsidR="00E90C39" w:rsidRPr="00E90C39" w:rsidRDefault="00E90C39" w:rsidP="00E90C39">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E90C39"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E90C39" w:rsidRPr="00E90C39" w:rsidRDefault="00E90C39" w:rsidP="00E90C39">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bottom"/>
            <w:hideMark/>
          </w:tcPr>
          <w:p w:rsidR="00E90C39" w:rsidRPr="00E90C39" w:rsidRDefault="00E90C39" w:rsidP="00E90C39">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Impuestos Sobre los Ingresos.</w:t>
            </w:r>
          </w:p>
        </w:tc>
        <w:tc>
          <w:tcPr>
            <w:tcW w:w="9497" w:type="dxa"/>
            <w:tcBorders>
              <w:top w:val="nil"/>
              <w:left w:val="nil"/>
              <w:bottom w:val="single" w:sz="4" w:space="0" w:color="auto"/>
              <w:right w:val="single" w:sz="4" w:space="0" w:color="auto"/>
            </w:tcBorders>
            <w:shd w:val="clear" w:color="auto" w:fill="auto"/>
            <w:noWrap/>
            <w:vAlign w:val="bottom"/>
            <w:hideMark/>
          </w:tcPr>
          <w:p w:rsidR="00E90C39" w:rsidRPr="00E90C39" w:rsidRDefault="00E90C39" w:rsidP="00E90C39">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Impuesto sobre espectáculos públicos.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961137" w:rsidP="00F15BD1">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7D54B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w:t>
            </w:r>
            <w:r w:rsidR="0095780C">
              <w:rPr>
                <w:rFonts w:ascii="Calibri" w:eastAsia="Times New Roman" w:hAnsi="Calibri" w:cs="Calibri"/>
                <w:color w:val="000000"/>
                <w:sz w:val="18"/>
                <w:szCs w:val="18"/>
                <w:lang w:eastAsia="es-MX"/>
              </w:rPr>
              <w:t>3</w:t>
            </w:r>
            <w:r>
              <w:rPr>
                <w:rFonts w:ascii="Calibri" w:eastAsia="Times New Roman" w:hAnsi="Calibri" w:cs="Calibri"/>
                <w:color w:val="000000"/>
                <w:sz w:val="18"/>
                <w:szCs w:val="18"/>
                <w:lang w:eastAsia="es-MX"/>
              </w:rPr>
              <w:t>% estimado po</w:t>
            </w:r>
            <w:r w:rsidR="00545726">
              <w:rPr>
                <w:rFonts w:ascii="Calibri" w:eastAsia="Times New Roman" w:hAnsi="Calibri" w:cs="Calibri"/>
                <w:color w:val="000000"/>
                <w:sz w:val="18"/>
                <w:szCs w:val="18"/>
                <w:lang w:eastAsia="es-MX"/>
              </w:rPr>
              <w:t xml:space="preserve">r el Banco de México. Para </w:t>
            </w:r>
            <w:r w:rsidR="00726EDE">
              <w:rPr>
                <w:rFonts w:ascii="Calibri" w:eastAsia="Times New Roman" w:hAnsi="Calibri" w:cs="Calibri"/>
                <w:color w:val="000000"/>
                <w:sz w:val="18"/>
                <w:szCs w:val="18"/>
                <w:lang w:eastAsia="es-MX"/>
              </w:rPr>
              <w:t>2024</w:t>
            </w:r>
            <w:r w:rsidR="00545726">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sidR="00545726">
              <w:rPr>
                <w:rFonts w:ascii="Calibri" w:eastAsia="Times New Roman" w:hAnsi="Calibri" w:cs="Calibri"/>
                <w:color w:val="000000"/>
                <w:sz w:val="18"/>
                <w:szCs w:val="18"/>
                <w:lang w:eastAsia="es-MX"/>
              </w:rPr>
              <w:t>.</w:t>
            </w:r>
          </w:p>
        </w:tc>
      </w:tr>
      <w:tr w:rsidR="007D54BC"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Impuesto sobre rifas, loterías, concursos o sorteos.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F15BD1">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Impuestos Sobre el Patrimonio.</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Impuesto predial.</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F15BD1">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Urbano;</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Rústico; y,</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Ejidal y Comunal</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Impuesto sobre lotes baldíos sin bardear o falta de banquetas.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F15BD1">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Impuesto Sobre la Producción, el Consumo y las Transacciones.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xml:space="preserve">Impuesto sobre adquisición de </w:t>
            </w:r>
            <w:r>
              <w:rPr>
                <w:rFonts w:ascii="Calibri" w:eastAsia="Times New Roman" w:hAnsi="Calibri" w:cs="Calibri"/>
                <w:color w:val="000000"/>
                <w:sz w:val="18"/>
                <w:szCs w:val="18"/>
                <w:lang w:eastAsia="es-MX"/>
              </w:rPr>
              <w:t>b</w:t>
            </w:r>
            <w:r w:rsidRPr="00E90C39">
              <w:rPr>
                <w:rFonts w:ascii="Calibri" w:eastAsia="Times New Roman" w:hAnsi="Calibri" w:cs="Calibri"/>
                <w:color w:val="000000"/>
                <w:sz w:val="18"/>
                <w:szCs w:val="18"/>
                <w:lang w:eastAsia="es-MX"/>
              </w:rPr>
              <w:t>ienes</w:t>
            </w:r>
            <w:r w:rsidRPr="00E90C39">
              <w:rPr>
                <w:rFonts w:ascii="Calibri" w:eastAsia="Times New Roman" w:hAnsi="Calibri" w:cs="Calibri"/>
                <w:sz w:val="18"/>
                <w:szCs w:val="18"/>
                <w:lang w:eastAsia="es-MX"/>
              </w:rPr>
              <w:t xml:space="preserve">  inmuebles.</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base a la ley</w:t>
            </w:r>
            <w:r w:rsidR="00C2742C">
              <w:rPr>
                <w:rFonts w:ascii="Calibri" w:eastAsia="Times New Roman" w:hAnsi="Calibri" w:cs="Calibri"/>
                <w:color w:val="000000"/>
                <w:sz w:val="18"/>
                <w:szCs w:val="18"/>
                <w:lang w:eastAsia="es-MX"/>
              </w:rPr>
              <w:t xml:space="preserve">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Accesorios.</w:t>
            </w:r>
          </w:p>
        </w:tc>
        <w:tc>
          <w:tcPr>
            <w:tcW w:w="9497" w:type="dxa"/>
            <w:tcBorders>
              <w:top w:val="nil"/>
              <w:left w:val="nil"/>
              <w:bottom w:val="single" w:sz="4" w:space="0" w:color="auto"/>
              <w:right w:val="single" w:sz="4" w:space="0" w:color="auto"/>
            </w:tcBorders>
            <w:shd w:val="clear" w:color="auto" w:fill="auto"/>
            <w:noWrap/>
            <w:vAlign w:val="bottom"/>
          </w:tcPr>
          <w:p w:rsidR="00F82C57" w:rsidRPr="00E90C39" w:rsidRDefault="00F82C57" w:rsidP="00F82C57">
            <w:pPr>
              <w:jc w:val="both"/>
              <w:rPr>
                <w:rFonts w:ascii="Calibri" w:eastAsia="Times New Roman" w:hAnsi="Calibri" w:cs="Calibri"/>
                <w:color w:val="000000"/>
                <w:sz w:val="18"/>
                <w:szCs w:val="18"/>
                <w:lang w:eastAsia="es-MX"/>
              </w:rPr>
            </w:pP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noWrap/>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Recargos.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Multas.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Honorarios y gastos de ejecución.</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Actualización.</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Otros accesorios.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Otros Impuestos.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Otros Impuestos.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595C14" w:rsidRDefault="00F82C57" w:rsidP="00F82C57">
            <w:pPr>
              <w:rPr>
                <w:rFonts w:ascii="Calibri" w:eastAsia="Times New Roman" w:hAnsi="Calibri" w:cs="Calibri"/>
                <w:sz w:val="18"/>
                <w:szCs w:val="18"/>
                <w:lang w:eastAsia="es-MX"/>
              </w:rPr>
            </w:pPr>
            <w:r w:rsidRPr="00595C14">
              <w:rPr>
                <w:rFonts w:ascii="Calibri" w:eastAsia="Times New Roman" w:hAnsi="Calibri" w:cs="Calibri"/>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Impuestos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center"/>
            <w:hideMark/>
          </w:tcPr>
          <w:p w:rsidR="00F82C57" w:rsidRPr="00595C14" w:rsidRDefault="00F82C57" w:rsidP="00F82C57">
            <w:pPr>
              <w:jc w:val="both"/>
              <w:rPr>
                <w:rFonts w:ascii="Calibri" w:eastAsia="Times New Roman" w:hAnsi="Calibri" w:cs="Calibri"/>
                <w:sz w:val="18"/>
                <w:szCs w:val="18"/>
                <w:lang w:eastAsia="es-MX"/>
              </w:rPr>
            </w:pP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Impuestos  no  Comprendidos  en  las  Fracciones  de  la  Ley  de Ingresos Causados en Ejercicios Fiscales Anteriores Pendientes de Liquidación o Pago.</w:t>
            </w:r>
          </w:p>
        </w:tc>
        <w:tc>
          <w:tcPr>
            <w:tcW w:w="9497" w:type="dxa"/>
            <w:tcBorders>
              <w:top w:val="nil"/>
              <w:left w:val="nil"/>
              <w:right w:val="single" w:sz="4" w:space="0" w:color="auto"/>
            </w:tcBorders>
            <w:shd w:val="clear" w:color="auto" w:fill="auto"/>
            <w:noWrap/>
            <w:vAlign w:val="bottom"/>
            <w:hideMark/>
          </w:tcPr>
          <w:p w:rsidR="00F82C57" w:rsidRPr="00595C14" w:rsidRDefault="00F82C57" w:rsidP="00F82C57">
            <w:pPr>
              <w:rPr>
                <w:rFonts w:ascii="Calibri" w:eastAsia="Times New Roman" w:hAnsi="Calibri" w:cs="Calibri"/>
                <w:sz w:val="18"/>
                <w:szCs w:val="18"/>
                <w:lang w:eastAsia="es-MX"/>
              </w:rPr>
            </w:pPr>
            <w:r w:rsidRPr="00595C14">
              <w:rPr>
                <w:rFonts w:ascii="Calibri" w:eastAsia="Times New Roman" w:hAnsi="Calibri" w:cs="Calibri"/>
                <w:sz w:val="18"/>
                <w:szCs w:val="18"/>
                <w:lang w:eastAsia="es-MX"/>
              </w:rPr>
              <w:t> </w:t>
            </w:r>
          </w:p>
        </w:tc>
      </w:tr>
      <w:tr w:rsidR="00F82C57" w:rsidRPr="00E90C39"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xml:space="preserve">CUOTAS Y APORTACIONES DE SEGURIDAD SOCIAL. </w:t>
            </w:r>
            <w:r>
              <w:rPr>
                <w:rFonts w:ascii="Calibri" w:eastAsia="Times New Roman" w:hAnsi="Calibri" w:cs="Calibri"/>
                <w:b/>
                <w:bCs/>
                <w:color w:val="000000"/>
                <w:sz w:val="18"/>
                <w:szCs w:val="18"/>
                <w:lang w:eastAsia="es-MX"/>
              </w:rPr>
              <w:t xml:space="preserve"> </w:t>
            </w:r>
            <w:r w:rsidRPr="00E90C39">
              <w:rPr>
                <w:rFonts w:ascii="Calibri" w:eastAsia="Times New Roman" w:hAnsi="Calibri" w:cs="Calibri"/>
                <w:b/>
                <w:bCs/>
                <w:color w:val="000000"/>
                <w:sz w:val="18"/>
                <w:szCs w:val="18"/>
                <w:lang w:eastAsia="es-MX"/>
              </w:rPr>
              <w:t>(NO APLICA)</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595C14" w:rsidRDefault="00F82C57" w:rsidP="00F82C57">
            <w:pPr>
              <w:rPr>
                <w:rFonts w:ascii="Calibri" w:eastAsia="Times New Roman" w:hAnsi="Calibri" w:cs="Calibri"/>
                <w:sz w:val="18"/>
                <w:szCs w:val="18"/>
                <w:lang w:eastAsia="es-MX"/>
              </w:rPr>
            </w:pPr>
            <w:r w:rsidRPr="00595C14">
              <w:rPr>
                <w:rFonts w:ascii="Calibri" w:eastAsia="Times New Roman" w:hAnsi="Calibri" w:cs="Calibri"/>
                <w:sz w:val="18"/>
                <w:szCs w:val="18"/>
                <w:lang w:eastAsia="es-MX"/>
              </w:rPr>
              <w:t> </w:t>
            </w:r>
          </w:p>
        </w:tc>
      </w:tr>
      <w:tr w:rsidR="00192C60" w:rsidRPr="00E90C39" w:rsidTr="008A5D54">
        <w:trPr>
          <w:trHeight w:val="102"/>
        </w:trPr>
        <w:tc>
          <w:tcPr>
            <w:tcW w:w="7103" w:type="dxa"/>
            <w:gridSpan w:val="4"/>
            <w:tcBorders>
              <w:top w:val="single" w:sz="4" w:space="0" w:color="auto"/>
              <w:left w:val="single" w:sz="4" w:space="0" w:color="auto"/>
              <w:right w:val="single" w:sz="4" w:space="0" w:color="auto"/>
            </w:tcBorders>
            <w:shd w:val="clear" w:color="auto" w:fill="auto"/>
            <w:vAlign w:val="bottom"/>
          </w:tcPr>
          <w:p w:rsidR="00192C60" w:rsidRDefault="00192C60" w:rsidP="00F82C57">
            <w:pPr>
              <w:rPr>
                <w:rFonts w:ascii="Calibri" w:eastAsia="Times New Roman" w:hAnsi="Calibri" w:cs="Calibri"/>
                <w:b/>
                <w:bCs/>
                <w:color w:val="000000"/>
                <w:sz w:val="18"/>
                <w:szCs w:val="18"/>
                <w:lang w:eastAsia="es-MX"/>
              </w:rPr>
            </w:pPr>
          </w:p>
          <w:p w:rsidR="009232CE" w:rsidRPr="00E90C39" w:rsidRDefault="009232CE" w:rsidP="00F82C57">
            <w:pPr>
              <w:rPr>
                <w:rFonts w:ascii="Calibri" w:eastAsia="Times New Roman" w:hAnsi="Calibri" w:cs="Calibri"/>
                <w:b/>
                <w:bCs/>
                <w:color w:val="000000"/>
                <w:sz w:val="18"/>
                <w:szCs w:val="18"/>
                <w:lang w:eastAsia="es-MX"/>
              </w:rPr>
            </w:pPr>
          </w:p>
        </w:tc>
        <w:tc>
          <w:tcPr>
            <w:tcW w:w="9497" w:type="dxa"/>
            <w:tcBorders>
              <w:top w:val="single" w:sz="4" w:space="0" w:color="auto"/>
              <w:left w:val="single" w:sz="4" w:space="0" w:color="auto"/>
            </w:tcBorders>
            <w:shd w:val="clear" w:color="auto" w:fill="auto"/>
            <w:noWrap/>
            <w:vAlign w:val="bottom"/>
          </w:tcPr>
          <w:p w:rsidR="00192C60" w:rsidRDefault="00192C60" w:rsidP="00F82C57">
            <w:pPr>
              <w:rPr>
                <w:rFonts w:ascii="Calibri" w:eastAsia="Times New Roman" w:hAnsi="Calibri" w:cs="Calibri"/>
                <w:color w:val="000000"/>
                <w:sz w:val="18"/>
                <w:szCs w:val="18"/>
                <w:lang w:eastAsia="es-MX"/>
              </w:rPr>
            </w:pPr>
          </w:p>
        </w:tc>
      </w:tr>
      <w:tr w:rsidR="007D54BC" w:rsidRPr="00E90C39" w:rsidTr="008A5D54">
        <w:trPr>
          <w:trHeight w:val="102"/>
        </w:trPr>
        <w:tc>
          <w:tcPr>
            <w:tcW w:w="7103" w:type="dxa"/>
            <w:gridSpan w:val="4"/>
            <w:tcBorders>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CONTRIBUCIONES DE MEJORAS.</w:t>
            </w:r>
          </w:p>
        </w:tc>
        <w:tc>
          <w:tcPr>
            <w:tcW w:w="9497" w:type="dxa"/>
            <w:tcBorders>
              <w:left w:val="nil"/>
              <w:bottom w:val="single" w:sz="4" w:space="0" w:color="auto"/>
              <w:right w:val="single" w:sz="4" w:space="0" w:color="auto"/>
            </w:tcBorders>
            <w:shd w:val="clear" w:color="auto" w:fill="auto"/>
            <w:noWrap/>
            <w:vAlign w:val="bottom"/>
            <w:hideMark/>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C2742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Contribución de mejoras por obras públicas.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E90C39"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De aumento de valor y mejoría especifica de la propiedad.</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lastRenderedPageBreak/>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xml:space="preserve">De aportación por mejoras. </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C2742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Contribución de Mejoras no Comprendidas en las Fracciones de la  Ley  de  Ingresos  Causadas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center"/>
            <w:hideMark/>
          </w:tcPr>
          <w:p w:rsidR="00F82C57" w:rsidRPr="002B0DFE" w:rsidRDefault="00F82C57" w:rsidP="00F82C57">
            <w:pPr>
              <w:rPr>
                <w:rFonts w:ascii="Calibri" w:eastAsia="Times New Roman" w:hAnsi="Calibri" w:cs="Calibri"/>
                <w:color w:val="000000"/>
                <w:sz w:val="18"/>
                <w:szCs w:val="18"/>
                <w:lang w:eastAsia="es-MX"/>
              </w:rPr>
            </w:pPr>
          </w:p>
        </w:tc>
      </w:tr>
      <w:tr w:rsidR="00F82C5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Contribución de Mejoras no Comprendidas en las Fracciones de la  Ley  de  Ingresos  Causadas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DERECHOS.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F82C5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Derechos por el Uso, Goce, Aprovechamiento o Explotación de Bienes de Dominio Público.</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 xml:space="preserve">Por la ocupación de la vía pública </w:t>
            </w:r>
            <w:r w:rsidRPr="00E90C39">
              <w:rPr>
                <w:rFonts w:ascii="Calibri" w:eastAsia="Times New Roman" w:hAnsi="Calibri" w:cs="Calibri"/>
                <w:color w:val="000000"/>
                <w:sz w:val="18"/>
                <w:szCs w:val="18"/>
                <w:lang w:eastAsia="es-MX"/>
              </w:rPr>
              <w:t>y servicios de mercado.</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C2742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Derechos por Prestación de Servicios.</w:t>
            </w:r>
          </w:p>
        </w:tc>
        <w:tc>
          <w:tcPr>
            <w:tcW w:w="9497" w:type="dxa"/>
            <w:tcBorders>
              <w:top w:val="nil"/>
              <w:left w:val="nil"/>
              <w:bottom w:val="single" w:sz="4" w:space="0" w:color="auto"/>
              <w:right w:val="single" w:sz="4" w:space="0" w:color="auto"/>
            </w:tcBorders>
            <w:shd w:val="clear" w:color="auto" w:fill="auto"/>
            <w:noWrap/>
            <w:vAlign w:val="bottom"/>
            <w:hideMark/>
          </w:tcPr>
          <w:p w:rsidR="00F82C57" w:rsidRPr="00E90C39" w:rsidRDefault="00F82C57" w:rsidP="00F82C5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 de alumbrado público.</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C2742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F82C5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F82C57" w:rsidRPr="00E90C39" w:rsidRDefault="00F82C57" w:rsidP="00F82C5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F82C57" w:rsidRPr="00E90C39" w:rsidRDefault="00F82C57" w:rsidP="00F82C5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la prestación del servicio de abastecimiento de agua potable, alcantarillado y saneamiento.</w:t>
            </w:r>
          </w:p>
        </w:tc>
        <w:tc>
          <w:tcPr>
            <w:tcW w:w="9497" w:type="dxa"/>
            <w:tcBorders>
              <w:top w:val="nil"/>
              <w:left w:val="nil"/>
              <w:bottom w:val="single" w:sz="4" w:space="0" w:color="auto"/>
              <w:right w:val="single" w:sz="4" w:space="0" w:color="auto"/>
            </w:tcBorders>
            <w:shd w:val="clear" w:color="auto" w:fill="auto"/>
            <w:noWrap/>
            <w:vAlign w:val="center"/>
          </w:tcPr>
          <w:p w:rsidR="00F82C57" w:rsidRPr="00E90C39" w:rsidRDefault="00F82C57" w:rsidP="00F82C57">
            <w:pPr>
              <w:jc w:val="both"/>
              <w:rPr>
                <w:rFonts w:ascii="Calibri" w:eastAsia="Times New Roman" w:hAnsi="Calibri" w:cs="Calibri"/>
                <w:color w:val="000000"/>
                <w:sz w:val="18"/>
                <w:szCs w:val="18"/>
                <w:lang w:eastAsia="es-MX"/>
              </w:rPr>
            </w:pPr>
          </w:p>
        </w:tc>
      </w:tr>
      <w:tr w:rsidR="007D54BC" w:rsidRPr="002B0DFE" w:rsidTr="00173D2C">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 de panteones.</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C2742C">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7D54BC" w:rsidRPr="002B0DFE" w:rsidTr="00076087">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 de rastro.</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C2742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 de control canino.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reparación de la vía pública.</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protección civil.</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parques y jardines.</w:t>
            </w:r>
          </w:p>
        </w:tc>
        <w:tc>
          <w:tcPr>
            <w:tcW w:w="9497" w:type="dxa"/>
            <w:tcBorders>
              <w:top w:val="nil"/>
              <w:left w:val="nil"/>
              <w:bottom w:val="single" w:sz="4" w:space="0" w:color="auto"/>
              <w:right w:val="single" w:sz="4" w:space="0" w:color="auto"/>
            </w:tcBorders>
            <w:shd w:val="clear" w:color="auto" w:fill="auto"/>
            <w:noWrap/>
          </w:tcPr>
          <w:p w:rsidR="00961137" w:rsidRDefault="00961137" w:rsidP="00961137"/>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 de tránsito y vialidad.</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vigilancia.</w:t>
            </w:r>
          </w:p>
        </w:tc>
        <w:tc>
          <w:tcPr>
            <w:tcW w:w="9497" w:type="dxa"/>
            <w:tcBorders>
              <w:top w:val="nil"/>
              <w:left w:val="nil"/>
              <w:bottom w:val="single" w:sz="4" w:space="0" w:color="auto"/>
              <w:right w:val="single" w:sz="4" w:space="0" w:color="auto"/>
            </w:tcBorders>
            <w:shd w:val="clear" w:color="auto" w:fill="auto"/>
            <w:noWrap/>
          </w:tcPr>
          <w:p w:rsidR="00961137" w:rsidRDefault="00961137" w:rsidP="00961137"/>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catastro.</w:t>
            </w:r>
          </w:p>
        </w:tc>
        <w:tc>
          <w:tcPr>
            <w:tcW w:w="9497" w:type="dxa"/>
            <w:tcBorders>
              <w:top w:val="nil"/>
              <w:left w:val="nil"/>
              <w:bottom w:val="single" w:sz="4" w:space="0" w:color="auto"/>
              <w:right w:val="single" w:sz="4" w:space="0" w:color="auto"/>
            </w:tcBorders>
            <w:shd w:val="clear" w:color="auto" w:fill="auto"/>
            <w:noWrap/>
          </w:tcPr>
          <w:p w:rsidR="00961137" w:rsidRDefault="00961137" w:rsidP="00961137"/>
        </w:tc>
      </w:tr>
      <w:tr w:rsidR="00961137" w:rsidRPr="002B0DFE" w:rsidTr="008A5D54">
        <w:trPr>
          <w:trHeight w:val="102"/>
        </w:trPr>
        <w:tc>
          <w:tcPr>
            <w:tcW w:w="181" w:type="dxa"/>
            <w:tcBorders>
              <w:top w:val="single" w:sz="4" w:space="0" w:color="auto"/>
              <w:left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oficiales diversos.</w:t>
            </w:r>
          </w:p>
        </w:tc>
        <w:tc>
          <w:tcPr>
            <w:tcW w:w="9497" w:type="dxa"/>
            <w:tcBorders>
              <w:top w:val="single" w:sz="4" w:space="0" w:color="auto"/>
              <w:left w:val="nil"/>
              <w:bottom w:val="single" w:sz="4" w:space="0" w:color="auto"/>
              <w:right w:val="single" w:sz="4" w:space="0" w:color="auto"/>
            </w:tcBorders>
            <w:shd w:val="clear" w:color="auto" w:fill="auto"/>
            <w:noWrap/>
          </w:tcPr>
          <w:p w:rsidR="00961137" w:rsidRDefault="00961137" w:rsidP="00961137"/>
        </w:tc>
      </w:tr>
      <w:tr w:rsidR="00961137" w:rsidRPr="002B0DFE" w:rsidTr="008A5D54">
        <w:trPr>
          <w:trHeight w:val="102"/>
        </w:trPr>
        <w:tc>
          <w:tcPr>
            <w:tcW w:w="181" w:type="dxa"/>
            <w:tcBorders>
              <w:bottom w:val="single" w:sz="4" w:space="0" w:color="auto"/>
            </w:tcBorders>
            <w:shd w:val="clear" w:color="auto" w:fill="auto"/>
            <w:vAlign w:val="bottom"/>
            <w:hideMark/>
          </w:tcPr>
          <w:p w:rsidR="00961137"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p w:rsidR="009232CE" w:rsidRPr="00E90C39" w:rsidRDefault="009232CE" w:rsidP="00961137">
            <w:pPr>
              <w:rPr>
                <w:rFonts w:ascii="Calibri" w:eastAsia="Times New Roman" w:hAnsi="Calibri" w:cs="Calibri"/>
                <w:b/>
                <w:bCs/>
                <w:color w:val="000000"/>
                <w:sz w:val="18"/>
                <w:szCs w:val="18"/>
                <w:lang w:eastAsia="es-MX"/>
              </w:rPr>
            </w:pPr>
          </w:p>
        </w:tc>
        <w:tc>
          <w:tcPr>
            <w:tcW w:w="6922" w:type="dxa"/>
            <w:gridSpan w:val="3"/>
            <w:tcBorders>
              <w:bottom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p>
        </w:tc>
        <w:tc>
          <w:tcPr>
            <w:tcW w:w="9497" w:type="dxa"/>
            <w:tcBorders>
              <w:top w:val="single" w:sz="4" w:space="0" w:color="auto"/>
              <w:left w:val="nil"/>
              <w:bottom w:val="single" w:sz="4" w:space="0" w:color="auto"/>
            </w:tcBorders>
            <w:shd w:val="clear" w:color="auto" w:fill="auto"/>
            <w:noWrap/>
            <w:vAlign w:val="bottom"/>
            <w:hideMark/>
          </w:tcPr>
          <w:p w:rsidR="00961137"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p w:rsidR="009232CE" w:rsidRDefault="009232CE" w:rsidP="00961137">
            <w:pPr>
              <w:rPr>
                <w:rFonts w:ascii="Calibri" w:eastAsia="Times New Roman" w:hAnsi="Calibri" w:cs="Calibri"/>
                <w:color w:val="000000"/>
                <w:sz w:val="18"/>
                <w:szCs w:val="18"/>
                <w:lang w:eastAsia="es-MX"/>
              </w:rPr>
            </w:pPr>
          </w:p>
          <w:p w:rsidR="009232CE" w:rsidRPr="00E90C39" w:rsidRDefault="009232CE" w:rsidP="00961137">
            <w:pPr>
              <w:rPr>
                <w:rFonts w:ascii="Calibri" w:eastAsia="Times New Roman" w:hAnsi="Calibri" w:cs="Calibri"/>
                <w:color w:val="000000"/>
                <w:sz w:val="18"/>
                <w:szCs w:val="18"/>
                <w:lang w:eastAsia="es-MX"/>
              </w:rPr>
            </w:pPr>
          </w:p>
        </w:tc>
      </w:tr>
      <w:tr w:rsidR="0092615B"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tcPr>
          <w:p w:rsidR="0092615B" w:rsidRPr="00E90C39" w:rsidRDefault="0092615B" w:rsidP="00961137">
            <w:pPr>
              <w:rPr>
                <w:rFonts w:ascii="Calibri" w:eastAsia="Times New Roman" w:hAnsi="Calibri" w:cs="Calibri"/>
                <w:b/>
                <w:bCs/>
                <w:color w:val="000000"/>
                <w:sz w:val="18"/>
                <w:szCs w:val="18"/>
                <w:lang w:eastAsia="es-MX"/>
              </w:rPr>
            </w:pPr>
          </w:p>
        </w:tc>
        <w:tc>
          <w:tcPr>
            <w:tcW w:w="6922" w:type="dxa"/>
            <w:gridSpan w:val="3"/>
            <w:tcBorders>
              <w:top w:val="single" w:sz="4" w:space="0" w:color="auto"/>
              <w:left w:val="nil"/>
              <w:bottom w:val="single" w:sz="4" w:space="0" w:color="auto"/>
              <w:right w:val="single" w:sz="4" w:space="0" w:color="auto"/>
            </w:tcBorders>
            <w:shd w:val="clear" w:color="auto" w:fill="auto"/>
            <w:vAlign w:val="center"/>
          </w:tcPr>
          <w:p w:rsidR="0092615B" w:rsidRPr="00E90C39" w:rsidRDefault="0092615B"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Otros Derechos.</w:t>
            </w:r>
          </w:p>
        </w:tc>
        <w:tc>
          <w:tcPr>
            <w:tcW w:w="9497" w:type="dxa"/>
            <w:tcBorders>
              <w:top w:val="nil"/>
              <w:left w:val="nil"/>
              <w:bottom w:val="single" w:sz="4" w:space="0" w:color="auto"/>
              <w:right w:val="single" w:sz="4" w:space="0" w:color="auto"/>
            </w:tcBorders>
            <w:shd w:val="clear" w:color="auto" w:fill="auto"/>
            <w:noWrap/>
            <w:vAlign w:val="bottom"/>
          </w:tcPr>
          <w:p w:rsidR="0092615B" w:rsidRPr="00E90C39" w:rsidRDefault="0092615B" w:rsidP="00961137">
            <w:pPr>
              <w:rPr>
                <w:rFonts w:ascii="Calibri" w:eastAsia="Times New Roman" w:hAnsi="Calibri" w:cs="Calibri"/>
                <w:color w:val="000000"/>
                <w:sz w:val="18"/>
                <w:szCs w:val="18"/>
                <w:lang w:eastAsia="es-MX"/>
              </w:rPr>
            </w:pPr>
          </w:p>
        </w:tc>
      </w:tr>
      <w:tr w:rsidR="007D54BC" w:rsidRPr="002B0DFE" w:rsidTr="00F679EB">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Expedición, revalidación y canje de permisos o licencias para funcionamiento de establecimientos.</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323644">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7D54BC" w:rsidRPr="002B0DFE" w:rsidTr="00CC27F0">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Expedición o revalidación de licencias o permisos para la colocación de anuncios publicitarios.</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licencias de construcción, reparación o restauración de fincas.</w:t>
            </w:r>
          </w:p>
        </w:tc>
        <w:tc>
          <w:tcPr>
            <w:tcW w:w="9497" w:type="dxa"/>
            <w:tcBorders>
              <w:top w:val="nil"/>
              <w:left w:val="nil"/>
              <w:bottom w:val="single" w:sz="4" w:space="0" w:color="auto"/>
              <w:right w:val="single" w:sz="4" w:space="0" w:color="auto"/>
            </w:tcBorders>
            <w:shd w:val="clear" w:color="auto" w:fill="auto"/>
            <w:noWrap/>
            <w:vAlign w:val="center"/>
            <w:hideMark/>
          </w:tcPr>
          <w:p w:rsidR="00961137" w:rsidRPr="00E90C39" w:rsidRDefault="00961137" w:rsidP="00961137">
            <w:pPr>
              <w:rPr>
                <w:rFonts w:ascii="Calibri" w:eastAsia="Times New Roman" w:hAnsi="Calibri" w:cs="Calibri"/>
                <w:color w:val="000000"/>
                <w:sz w:val="18"/>
                <w:szCs w:val="18"/>
                <w:lang w:eastAsia="es-MX"/>
              </w:rPr>
            </w:pPr>
          </w:p>
        </w:tc>
      </w:tr>
      <w:tr w:rsidR="007D54BC" w:rsidRPr="002B0DFE" w:rsidTr="00D453EA">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expedición de certificados, constancias, títulos, copias de documentos y legalización de firmas.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7D54BC" w:rsidRPr="002B0DFE" w:rsidTr="00567B40">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urbanísticos.</w:t>
            </w:r>
          </w:p>
        </w:tc>
        <w:tc>
          <w:tcPr>
            <w:tcW w:w="9497" w:type="dxa"/>
            <w:tcBorders>
              <w:top w:val="nil"/>
              <w:left w:val="nil"/>
              <w:bottom w:val="single" w:sz="4" w:space="0" w:color="auto"/>
              <w:right w:val="single" w:sz="4" w:space="0" w:color="auto"/>
            </w:tcBorders>
            <w:shd w:val="clear" w:color="auto" w:fill="auto"/>
            <w:noWrap/>
            <w:vAlign w:val="bottom"/>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aseo público.</w:t>
            </w:r>
          </w:p>
        </w:tc>
        <w:tc>
          <w:tcPr>
            <w:tcW w:w="9497" w:type="dxa"/>
            <w:tcBorders>
              <w:top w:val="nil"/>
              <w:left w:val="nil"/>
              <w:bottom w:val="single" w:sz="4" w:space="0" w:color="auto"/>
              <w:right w:val="single" w:sz="4" w:space="0" w:color="auto"/>
            </w:tcBorders>
            <w:shd w:val="clear" w:color="auto" w:fill="auto"/>
            <w:noWrap/>
            <w:vAlign w:val="center"/>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servicios de administración ambiental.</w:t>
            </w:r>
          </w:p>
        </w:tc>
        <w:tc>
          <w:tcPr>
            <w:tcW w:w="9497" w:type="dxa"/>
            <w:tcBorders>
              <w:top w:val="nil"/>
              <w:left w:val="nil"/>
              <w:bottom w:val="single" w:sz="4" w:space="0" w:color="auto"/>
              <w:right w:val="single" w:sz="4" w:space="0" w:color="auto"/>
            </w:tcBorders>
            <w:shd w:val="clear" w:color="auto" w:fill="auto"/>
            <w:noWrap/>
            <w:vAlign w:val="center"/>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lastRenderedPageBreak/>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Por inscripción a padrones.</w:t>
            </w:r>
          </w:p>
        </w:tc>
        <w:tc>
          <w:tcPr>
            <w:tcW w:w="9497" w:type="dxa"/>
            <w:tcBorders>
              <w:top w:val="nil"/>
              <w:left w:val="nil"/>
              <w:bottom w:val="single" w:sz="4" w:space="0" w:color="auto"/>
              <w:right w:val="single" w:sz="4" w:space="0" w:color="auto"/>
            </w:tcBorders>
            <w:shd w:val="clear" w:color="auto" w:fill="auto"/>
            <w:noWrap/>
            <w:vAlign w:val="center"/>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Por acceso a museos.</w:t>
            </w:r>
          </w:p>
        </w:tc>
        <w:tc>
          <w:tcPr>
            <w:tcW w:w="9497" w:type="dxa"/>
            <w:tcBorders>
              <w:top w:val="nil"/>
              <w:left w:val="nil"/>
              <w:bottom w:val="single" w:sz="4" w:space="0" w:color="auto"/>
              <w:right w:val="single" w:sz="4" w:space="0" w:color="auto"/>
            </w:tcBorders>
            <w:shd w:val="clear" w:color="auto" w:fill="auto"/>
            <w:noWrap/>
            <w:vAlign w:val="center"/>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Accesorios.</w:t>
            </w:r>
          </w:p>
        </w:tc>
        <w:tc>
          <w:tcPr>
            <w:tcW w:w="9497" w:type="dxa"/>
            <w:tcBorders>
              <w:top w:val="nil"/>
              <w:left w:val="nil"/>
              <w:bottom w:val="single" w:sz="4" w:space="0" w:color="auto"/>
              <w:right w:val="single" w:sz="4" w:space="0" w:color="auto"/>
            </w:tcBorders>
            <w:shd w:val="clear" w:color="auto" w:fill="auto"/>
            <w:noWrap/>
            <w:vAlign w:val="center"/>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Recargos.</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Multas.</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Honorarios y gastos de ejecución.</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Actualización.</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Otros accesorios.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Derechos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Derechos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PRODUCTOS.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Productos de Tipo Corriente.</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Productos derivados del uso y aprovechamiento de bienes no sujetos a régimen de dominio público.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Enajenación de bienes muebles no sujetos a ser inventariables.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Accesorios de Productos.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Rendimiento de capital.</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Arrendamiento y explotación de bienes muebles e inmuebles.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sz w:val="18"/>
                <w:szCs w:val="18"/>
                <w:lang w:eastAsia="es-MX"/>
              </w:rPr>
            </w:pPr>
            <w:r w:rsidRPr="00E90C39">
              <w:rPr>
                <w:rFonts w:ascii="Calibri" w:eastAsia="Times New Roman" w:hAnsi="Calibri" w:cs="Calibri"/>
                <w:sz w:val="18"/>
                <w:szCs w:val="18"/>
                <w:lang w:eastAsia="es-MX"/>
              </w:rPr>
              <w:t>Otros productos. (formas valoradas y publicaciones)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Productos de Capital.</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Enajenación de bienes muebles e inmuebles.</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jc w:val="both"/>
              <w:rPr>
                <w:rFonts w:ascii="Calibri" w:eastAsia="Times New Roman" w:hAnsi="Calibri" w:cs="Calibri"/>
                <w:b/>
                <w:bCs/>
                <w:color w:val="000000"/>
                <w:sz w:val="18"/>
                <w:szCs w:val="18"/>
                <w:lang w:eastAsia="es-MX"/>
              </w:rPr>
            </w:pPr>
            <w:r w:rsidRPr="00EA5427">
              <w:rPr>
                <w:rFonts w:ascii="Calibri" w:eastAsia="Times New Roman" w:hAnsi="Calibri" w:cs="Calibri"/>
                <w:b/>
                <w:bCs/>
                <w:color w:val="000000"/>
                <w:sz w:val="18"/>
                <w:szCs w:val="18"/>
                <w:lang w:eastAsia="es-MX"/>
              </w:rPr>
              <w:t>Productos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center"/>
            <w:hideMark/>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Productos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APROVECHAMIENTOS.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7D54B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Calcular con ba</w:t>
            </w:r>
            <w:r w:rsidR="00323644">
              <w:rPr>
                <w:rFonts w:ascii="Calibri" w:eastAsia="Times New Roman" w:hAnsi="Calibri" w:cs="Calibri"/>
                <w:color w:val="000000"/>
                <w:sz w:val="18"/>
                <w:szCs w:val="18"/>
                <w:lang w:eastAsia="es-MX"/>
              </w:rPr>
              <w:t xml:space="preserve">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Aprovechamientos de Tipo Corriente.</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Honorarios y gastos de ejecución.</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Recargos.</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7D54B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7D54BC" w:rsidRPr="00E90C39" w:rsidRDefault="007D54BC" w:rsidP="007D54B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xml:space="preserve">Multas por falta a la reglamentación </w:t>
            </w:r>
          </w:p>
        </w:tc>
        <w:tc>
          <w:tcPr>
            <w:tcW w:w="9497" w:type="dxa"/>
            <w:tcBorders>
              <w:top w:val="nil"/>
              <w:left w:val="nil"/>
              <w:bottom w:val="single" w:sz="4" w:space="0" w:color="auto"/>
              <w:right w:val="single" w:sz="4" w:space="0" w:color="auto"/>
            </w:tcBorders>
            <w:shd w:val="clear" w:color="auto" w:fill="auto"/>
            <w:noWrap/>
            <w:vAlign w:val="bottom"/>
            <w:hideMark/>
          </w:tcPr>
          <w:p w:rsidR="007D54BC" w:rsidRPr="00E90C39" w:rsidRDefault="007D54BC" w:rsidP="00323644">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ley de ingresos del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autorizada por el congreso proyectando a nivel anualizado, adicionando el impacto de la inflación del 3% estimado por el Banco de México. Para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Reintegros por responsabilidades.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Donativos, subsidios e indemnizaciones.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Indemnizaciones por daños a bienes.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Recuperación de costos por adjudicación de contratos de obra pública y adquisición de bienes.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Intervención de espectáculos públicos.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lastRenderedPageBreak/>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Otros aprovechamientos.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Incentivos por administración de impuestos municipales coordinados.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Multas por infracciones al Reglamento de la Ley de Tránsito y Vialidad del Estado de Michoacán de Ocampo.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Multas por infracciones a la Ley para la Prevención y Gestión Integral de Residuos en el Estado de Michoacán de Ocampo.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Multas por infracciones a otras disposiciones no fiscales.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Indemnizaciones de cheques devueltos por instituciones bancarias.</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Aprovechamientos de Capital.</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Aprovechamientos de Capital.</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Aprovechamientos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center"/>
            <w:hideMark/>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Aprovechamientos no  Comprendidos  en las Fracciones de la Ley de Ingresos causados en ejercicios fiscales anteriores pendientes de liquidación o pago.</w:t>
            </w:r>
          </w:p>
        </w:tc>
        <w:tc>
          <w:tcPr>
            <w:tcW w:w="9497" w:type="dxa"/>
            <w:tcBorders>
              <w:top w:val="nil"/>
              <w:left w:val="nil"/>
              <w:bottom w:val="single" w:sz="4" w:space="0" w:color="auto"/>
              <w:right w:val="single" w:sz="4" w:space="0" w:color="auto"/>
            </w:tcBorders>
            <w:shd w:val="clear" w:color="auto" w:fill="auto"/>
            <w:noWrap/>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61137"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INGRESOS POR VENTA DE BIENES Y SERVICIOS.</w:t>
            </w:r>
          </w:p>
        </w:tc>
        <w:tc>
          <w:tcPr>
            <w:tcW w:w="9497" w:type="dxa"/>
            <w:tcBorders>
              <w:top w:val="nil"/>
              <w:left w:val="nil"/>
              <w:bottom w:val="single" w:sz="4" w:space="0" w:color="auto"/>
              <w:right w:val="single" w:sz="4" w:space="0" w:color="auto"/>
            </w:tcBorders>
            <w:shd w:val="clear" w:color="auto" w:fill="auto"/>
            <w:noWrap/>
            <w:vAlign w:val="bottom"/>
          </w:tcPr>
          <w:p w:rsidR="00961137" w:rsidRPr="00264C5B" w:rsidRDefault="00961137" w:rsidP="00961137">
            <w:pPr>
              <w:rPr>
                <w:rFonts w:ascii="Calibri" w:eastAsia="Times New Roman" w:hAnsi="Calibri" w:cs="Calibri"/>
                <w:b/>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Ingresos por Venta de Bienes y Servicios de Organismos Descentralizados.</w:t>
            </w:r>
          </w:p>
        </w:tc>
        <w:tc>
          <w:tcPr>
            <w:tcW w:w="9497" w:type="dxa"/>
            <w:tcBorders>
              <w:top w:val="nil"/>
              <w:left w:val="nil"/>
              <w:bottom w:val="single" w:sz="4" w:space="0" w:color="auto"/>
              <w:right w:val="single" w:sz="4" w:space="0" w:color="auto"/>
            </w:tcBorders>
            <w:shd w:val="clear" w:color="auto" w:fill="auto"/>
            <w:noWrap/>
            <w:vAlign w:val="bottom"/>
          </w:tcPr>
          <w:p w:rsidR="00961137" w:rsidRPr="00264C5B" w:rsidRDefault="00961137" w:rsidP="00961137">
            <w:pPr>
              <w:rPr>
                <w:rFonts w:ascii="Calibri" w:eastAsia="Times New Roman" w:hAnsi="Calibri" w:cs="Calibri"/>
                <w:b/>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Ingresos por Venta de Bienes y Servicios de Organismos Descentralizados.</w:t>
            </w:r>
          </w:p>
        </w:tc>
        <w:tc>
          <w:tcPr>
            <w:tcW w:w="9497" w:type="dxa"/>
            <w:tcBorders>
              <w:top w:val="nil"/>
              <w:left w:val="nil"/>
              <w:bottom w:val="single" w:sz="4" w:space="0" w:color="auto"/>
              <w:right w:val="single" w:sz="4" w:space="0" w:color="auto"/>
            </w:tcBorders>
            <w:shd w:val="clear" w:color="auto" w:fill="auto"/>
            <w:noWrap/>
            <w:vAlign w:val="center"/>
            <w:hideMark/>
          </w:tcPr>
          <w:p w:rsidR="00961137" w:rsidRPr="00264C5B" w:rsidRDefault="00961137" w:rsidP="00961137">
            <w:pPr>
              <w:rPr>
                <w:rFonts w:ascii="Calibri" w:eastAsia="Times New Roman" w:hAnsi="Calibri" w:cs="Calibri"/>
                <w:b/>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61137" w:rsidRPr="00E90C39" w:rsidRDefault="00961137" w:rsidP="00961137">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Enajenación  de fertilizantes, pasto semillas y viveros.</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Cuotas de recuperación de política de abasto.</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961137" w:rsidP="00961137">
            <w:pPr>
              <w:rPr>
                <w:rFonts w:ascii="Calibri" w:eastAsia="Times New Roman" w:hAnsi="Calibri" w:cs="Calibri"/>
                <w:color w:val="000000"/>
                <w:sz w:val="18"/>
                <w:szCs w:val="18"/>
                <w:lang w:eastAsia="es-MX"/>
              </w:rPr>
            </w:pPr>
          </w:p>
        </w:tc>
      </w:tr>
      <w:tr w:rsidR="00961137"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961137" w:rsidRPr="00E90C39" w:rsidRDefault="00961137" w:rsidP="00961137">
            <w:pPr>
              <w:rPr>
                <w:rFonts w:ascii="Calibri" w:eastAsia="Times New Roman" w:hAnsi="Calibri" w:cs="Calibri"/>
                <w:b/>
                <w:bCs/>
                <w:color w:val="000000"/>
                <w:sz w:val="18"/>
                <w:szCs w:val="18"/>
                <w:lang w:eastAsia="es-MX"/>
              </w:rPr>
            </w:pPr>
            <w:r>
              <w:rPr>
                <w:rFonts w:ascii="Calibri" w:eastAsia="Times New Roman" w:hAnsi="Calibri" w:cs="Calibri"/>
                <w:b/>
                <w:bCs/>
                <w:color w:val="000000"/>
                <w:sz w:val="18"/>
                <w:szCs w:val="18"/>
                <w:lang w:eastAsia="es-MX"/>
              </w:rPr>
              <w:t>PARTICIPACIONES Y APORTACIONES</w:t>
            </w:r>
            <w:r w:rsidRPr="00E90C39">
              <w:rPr>
                <w:rFonts w:ascii="Calibri" w:eastAsia="Times New Roman" w:hAnsi="Calibri" w:cs="Calibri"/>
                <w:b/>
                <w:bCs/>
                <w:color w:val="000000"/>
                <w:sz w:val="18"/>
                <w:szCs w:val="18"/>
                <w:lang w:eastAsia="es-MX"/>
              </w:rPr>
              <w:t>.</w:t>
            </w:r>
          </w:p>
        </w:tc>
        <w:tc>
          <w:tcPr>
            <w:tcW w:w="9497" w:type="dxa"/>
            <w:tcBorders>
              <w:top w:val="nil"/>
              <w:left w:val="nil"/>
              <w:bottom w:val="single" w:sz="4" w:space="0" w:color="auto"/>
              <w:right w:val="single" w:sz="4" w:space="0" w:color="auto"/>
            </w:tcBorders>
            <w:shd w:val="clear" w:color="auto" w:fill="auto"/>
            <w:noWrap/>
            <w:vAlign w:val="bottom"/>
          </w:tcPr>
          <w:p w:rsidR="00961137" w:rsidRPr="00E90C39" w:rsidRDefault="00715F28"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Ca</w:t>
            </w:r>
            <w:r w:rsidR="00AF73D9">
              <w:rPr>
                <w:rFonts w:ascii="Calibri" w:eastAsia="Times New Roman" w:hAnsi="Calibri" w:cs="Calibri"/>
                <w:color w:val="000000"/>
                <w:sz w:val="18"/>
                <w:szCs w:val="18"/>
                <w:lang w:eastAsia="es-MX"/>
              </w:rPr>
              <w:t>lcular con base  a la estimación de la Secretaria de</w:t>
            </w:r>
            <w:r w:rsidR="00873948">
              <w:rPr>
                <w:rFonts w:ascii="Calibri" w:eastAsia="Times New Roman" w:hAnsi="Calibri" w:cs="Calibri"/>
                <w:color w:val="000000"/>
                <w:sz w:val="18"/>
                <w:szCs w:val="18"/>
                <w:lang w:eastAsia="es-MX"/>
              </w:rPr>
              <w:t xml:space="preserve"> Finanzas de las Parti</w:t>
            </w:r>
            <w:r w:rsidR="0095780C">
              <w:rPr>
                <w:rFonts w:ascii="Calibri" w:eastAsia="Times New Roman" w:hAnsi="Calibri" w:cs="Calibri"/>
                <w:color w:val="000000"/>
                <w:sz w:val="18"/>
                <w:szCs w:val="18"/>
                <w:lang w:eastAsia="es-MX"/>
              </w:rPr>
              <w:t xml:space="preserve">cipación proyectadas para el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sidR="00640FD7">
              <w:rPr>
                <w:rFonts w:ascii="Calibri" w:eastAsia="Times New Roman" w:hAnsi="Calibri" w:cs="Calibri"/>
                <w:color w:val="000000"/>
                <w:sz w:val="18"/>
                <w:szCs w:val="18"/>
                <w:lang w:eastAsia="es-MX"/>
              </w:rPr>
              <w:t>.</w:t>
            </w:r>
          </w:p>
        </w:tc>
      </w:tr>
      <w:tr w:rsidR="0095780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6922" w:type="dxa"/>
            <w:gridSpan w:val="3"/>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Participaciones.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F45912">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General de Participaciones.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AA088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Fomento Municipal.</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135D57">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 sobre tenencia o uso de vehículos.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724CF8">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Compensación del Impuesto sobre automóviles nuevos.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0A7A6B">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 especial sobre producción y servicios.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1B397C">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 especial sobre automóviles nuevos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4A26DE">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 sobre rifas, loterías, sorteos y concursos.</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574903">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fiscalización.</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9251D5">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Impuesto a la Venta Final de Gasolina y Diesel.</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95780C" w:rsidRPr="002B0DFE" w:rsidTr="00291706">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compensación a la venta final de gasolina y diesel</w:t>
            </w:r>
          </w:p>
        </w:tc>
        <w:tc>
          <w:tcPr>
            <w:tcW w:w="9497" w:type="dxa"/>
            <w:tcBorders>
              <w:top w:val="nil"/>
              <w:left w:val="nil"/>
              <w:bottom w:val="single" w:sz="4" w:space="0" w:color="auto"/>
              <w:right w:val="single" w:sz="4" w:space="0" w:color="auto"/>
            </w:tcBorders>
            <w:shd w:val="clear" w:color="auto" w:fill="auto"/>
            <w:noWrap/>
            <w:vAlign w:val="bottom"/>
          </w:tcPr>
          <w:p w:rsidR="0095780C" w:rsidRPr="00E90C39" w:rsidRDefault="00323644"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Otras participaciones</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Aportaciones.</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5780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center"/>
            <w:hideMark/>
          </w:tcPr>
          <w:p w:rsidR="0095780C" w:rsidRPr="00E90C39" w:rsidRDefault="0095780C" w:rsidP="0095780C">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Aportaciones Para la Infraestructura Social Municipal.</w:t>
            </w:r>
          </w:p>
        </w:tc>
        <w:tc>
          <w:tcPr>
            <w:tcW w:w="9497" w:type="dxa"/>
            <w:tcBorders>
              <w:top w:val="nil"/>
              <w:left w:val="nil"/>
              <w:bottom w:val="single" w:sz="4" w:space="0" w:color="auto"/>
              <w:right w:val="single" w:sz="4" w:space="0" w:color="auto"/>
            </w:tcBorders>
            <w:shd w:val="clear" w:color="auto" w:fill="auto"/>
            <w:noWrap/>
            <w:vAlign w:val="bottom"/>
            <w:hideMark/>
          </w:tcPr>
          <w:p w:rsidR="0095780C" w:rsidRPr="00E90C39" w:rsidRDefault="0095780C"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95780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bottom"/>
            <w:hideMark/>
          </w:tcPr>
          <w:p w:rsidR="0095780C" w:rsidRPr="00E90C39" w:rsidRDefault="0095780C" w:rsidP="0095780C">
            <w:pPr>
              <w:jc w:val="both"/>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Fondo de Aportaciones Para el Fortalecimiento de los Municipios y de las Demarcaciones Territoriales del Distrito Federal.</w:t>
            </w:r>
          </w:p>
        </w:tc>
        <w:tc>
          <w:tcPr>
            <w:tcW w:w="9497" w:type="dxa"/>
            <w:tcBorders>
              <w:top w:val="nil"/>
              <w:left w:val="nil"/>
              <w:bottom w:val="single" w:sz="4" w:space="0" w:color="auto"/>
              <w:right w:val="single" w:sz="4" w:space="0" w:color="auto"/>
            </w:tcBorders>
            <w:shd w:val="clear" w:color="auto" w:fill="auto"/>
            <w:noWrap/>
            <w:vAlign w:val="bottom"/>
            <w:hideMark/>
          </w:tcPr>
          <w:p w:rsidR="0095780C" w:rsidRPr="00E90C39" w:rsidRDefault="0095780C"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Convenios.</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Transferencias Federales por convenio.</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95780C"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bottom"/>
            <w:hideMark/>
          </w:tcPr>
          <w:p w:rsidR="0095780C" w:rsidRPr="00E90C39" w:rsidRDefault="0095780C" w:rsidP="0095780C">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Transferencias Estatales por convenio.</w:t>
            </w:r>
          </w:p>
        </w:tc>
        <w:tc>
          <w:tcPr>
            <w:tcW w:w="9497" w:type="dxa"/>
            <w:tcBorders>
              <w:top w:val="nil"/>
              <w:left w:val="nil"/>
              <w:bottom w:val="single" w:sz="4" w:space="0" w:color="auto"/>
              <w:right w:val="single" w:sz="4" w:space="0" w:color="auto"/>
            </w:tcBorders>
            <w:shd w:val="clear" w:color="auto" w:fill="auto"/>
            <w:noWrap/>
            <w:vAlign w:val="bottom"/>
            <w:hideMark/>
          </w:tcPr>
          <w:p w:rsidR="0095780C" w:rsidRPr="00E90C39" w:rsidRDefault="0095780C" w:rsidP="0095780C">
            <w:pP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 xml:space="preserve">Calcular con base  a la estimación de la Secretaria de Finanzas de las Participación proyectadas para el </w:t>
            </w:r>
            <w:r w:rsidR="00726EDE">
              <w:rPr>
                <w:rFonts w:ascii="Calibri" w:eastAsia="Times New Roman" w:hAnsi="Calibri" w:cs="Calibri"/>
                <w:color w:val="000000"/>
                <w:sz w:val="18"/>
                <w:szCs w:val="18"/>
                <w:lang w:eastAsia="es-MX"/>
              </w:rPr>
              <w:t>2024</w:t>
            </w:r>
            <w:r w:rsidR="00323644">
              <w:rPr>
                <w:rFonts w:ascii="Calibri" w:eastAsia="Times New Roman" w:hAnsi="Calibri" w:cs="Calibri"/>
                <w:color w:val="000000"/>
                <w:sz w:val="18"/>
                <w:szCs w:val="18"/>
                <w:lang w:eastAsia="es-MX"/>
              </w:rPr>
              <w:t xml:space="preserve"> y </w:t>
            </w:r>
            <w:r w:rsidR="00726EDE">
              <w:rPr>
                <w:rFonts w:ascii="Calibri" w:eastAsia="Times New Roman" w:hAnsi="Calibri" w:cs="Calibri"/>
                <w:color w:val="000000"/>
                <w:sz w:val="18"/>
                <w:szCs w:val="18"/>
                <w:lang w:eastAsia="es-MX"/>
              </w:rPr>
              <w:t>2025</w:t>
            </w:r>
            <w:r>
              <w:rPr>
                <w:rFonts w:ascii="Calibri" w:eastAsia="Times New Roman" w:hAnsi="Calibri" w:cs="Calibri"/>
                <w:color w:val="000000"/>
                <w:sz w:val="18"/>
                <w:szCs w:val="18"/>
                <w:lang w:eastAsia="es-MX"/>
              </w:rPr>
              <w:t>.</w:t>
            </w:r>
          </w:p>
        </w:tc>
      </w:tr>
      <w:tr w:rsidR="00873948"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73948" w:rsidRPr="00E90C39" w:rsidRDefault="00873948" w:rsidP="00873948">
            <w:pPr>
              <w:jc w:val="both"/>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TRANSFERENCIAS, ASIGNACIONES, SUBSIDIOS Y OTRAS AYUDAS.</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r>
      <w:tr w:rsidR="00873948" w:rsidRPr="002B0DFE" w:rsidTr="008A5D54">
        <w:trPr>
          <w:trHeight w:val="102"/>
        </w:trPr>
        <w:tc>
          <w:tcPr>
            <w:tcW w:w="71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lastRenderedPageBreak/>
              <w:t>INGRESOS DERIVADOS DE FINANCIAMIENTOS</w:t>
            </w:r>
          </w:p>
        </w:tc>
        <w:tc>
          <w:tcPr>
            <w:tcW w:w="9497" w:type="dxa"/>
            <w:tcBorders>
              <w:top w:val="nil"/>
              <w:left w:val="nil"/>
              <w:bottom w:val="single" w:sz="4" w:space="0" w:color="auto"/>
              <w:right w:val="single" w:sz="4" w:space="0" w:color="auto"/>
            </w:tcBorders>
            <w:shd w:val="clear" w:color="auto" w:fill="auto"/>
            <w:noWrap/>
            <w:vAlign w:val="bottom"/>
            <w:hideMark/>
          </w:tcPr>
          <w:p w:rsidR="00873948" w:rsidRPr="00E90C39" w:rsidRDefault="00873948" w:rsidP="00873948">
            <w:pPr>
              <w:rPr>
                <w:rFonts w:ascii="Calibri" w:eastAsia="Times New Roman" w:hAnsi="Calibri" w:cs="Calibri"/>
                <w:color w:val="000000"/>
                <w:sz w:val="18"/>
                <w:szCs w:val="18"/>
                <w:lang w:eastAsia="es-MX"/>
              </w:rPr>
            </w:pP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 </w:t>
            </w:r>
          </w:p>
        </w:tc>
        <w:tc>
          <w:tcPr>
            <w:tcW w:w="5669" w:type="dxa"/>
            <w:gridSpan w:val="2"/>
            <w:tcBorders>
              <w:top w:val="single" w:sz="4" w:space="0" w:color="auto"/>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b/>
                <w:bCs/>
                <w:color w:val="000000"/>
                <w:sz w:val="18"/>
                <w:szCs w:val="18"/>
                <w:lang w:eastAsia="es-MX"/>
              </w:rPr>
            </w:pPr>
            <w:r w:rsidRPr="00E90C39">
              <w:rPr>
                <w:rFonts w:ascii="Calibri" w:eastAsia="Times New Roman" w:hAnsi="Calibri" w:cs="Calibri"/>
                <w:b/>
                <w:bCs/>
                <w:color w:val="000000"/>
                <w:sz w:val="18"/>
                <w:szCs w:val="18"/>
                <w:lang w:eastAsia="es-MX"/>
              </w:rPr>
              <w:t>Endeudamiento Interno</w:t>
            </w:r>
          </w:p>
        </w:tc>
        <w:tc>
          <w:tcPr>
            <w:tcW w:w="9497" w:type="dxa"/>
            <w:tcBorders>
              <w:top w:val="nil"/>
              <w:left w:val="nil"/>
              <w:bottom w:val="single" w:sz="4" w:space="0" w:color="auto"/>
              <w:right w:val="single" w:sz="4" w:space="0" w:color="auto"/>
            </w:tcBorders>
            <w:shd w:val="clear" w:color="auto" w:fill="auto"/>
            <w:noWrap/>
            <w:vAlign w:val="center"/>
          </w:tcPr>
          <w:p w:rsidR="00873948" w:rsidRPr="00E90C39" w:rsidRDefault="00873948" w:rsidP="00873948">
            <w:pPr>
              <w:jc w:val="both"/>
              <w:rPr>
                <w:rFonts w:ascii="Calibri" w:eastAsia="Times New Roman" w:hAnsi="Calibri" w:cs="Calibri"/>
                <w:color w:val="000000"/>
                <w:sz w:val="18"/>
                <w:szCs w:val="18"/>
                <w:lang w:eastAsia="es-MX"/>
              </w:rPr>
            </w:pPr>
          </w:p>
        </w:tc>
      </w:tr>
      <w:tr w:rsidR="00873948" w:rsidRPr="002B0DFE" w:rsidTr="008A5D54">
        <w:trPr>
          <w:trHeight w:val="102"/>
        </w:trPr>
        <w:tc>
          <w:tcPr>
            <w:tcW w:w="181" w:type="dxa"/>
            <w:tcBorders>
              <w:top w:val="nil"/>
              <w:left w:val="single" w:sz="4" w:space="0" w:color="auto"/>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253" w:type="dxa"/>
            <w:tcBorders>
              <w:top w:val="nil"/>
              <w:left w:val="nil"/>
              <w:bottom w:val="single" w:sz="4" w:space="0" w:color="auto"/>
              <w:right w:val="single" w:sz="4" w:space="0" w:color="auto"/>
            </w:tcBorders>
            <w:shd w:val="clear" w:color="auto" w:fill="auto"/>
            <w:vAlign w:val="bottom"/>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1485" w:type="dxa"/>
            <w:tcBorders>
              <w:top w:val="nil"/>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 </w:t>
            </w:r>
          </w:p>
        </w:tc>
        <w:tc>
          <w:tcPr>
            <w:tcW w:w="4184" w:type="dxa"/>
            <w:tcBorders>
              <w:top w:val="single" w:sz="4" w:space="0" w:color="auto"/>
              <w:left w:val="nil"/>
              <w:bottom w:val="single" w:sz="4" w:space="0" w:color="auto"/>
              <w:right w:val="single" w:sz="4" w:space="0" w:color="auto"/>
            </w:tcBorders>
            <w:shd w:val="clear" w:color="auto" w:fill="auto"/>
            <w:vAlign w:val="center"/>
            <w:hideMark/>
          </w:tcPr>
          <w:p w:rsidR="00873948" w:rsidRPr="00E90C39" w:rsidRDefault="00873948" w:rsidP="00873948">
            <w:pPr>
              <w:rPr>
                <w:rFonts w:ascii="Calibri" w:eastAsia="Times New Roman" w:hAnsi="Calibri" w:cs="Calibri"/>
                <w:color w:val="000000"/>
                <w:sz w:val="18"/>
                <w:szCs w:val="18"/>
                <w:lang w:eastAsia="es-MX"/>
              </w:rPr>
            </w:pPr>
            <w:r w:rsidRPr="00E90C39">
              <w:rPr>
                <w:rFonts w:ascii="Calibri" w:eastAsia="Times New Roman" w:hAnsi="Calibri" w:cs="Calibri"/>
                <w:color w:val="000000"/>
                <w:sz w:val="18"/>
                <w:szCs w:val="18"/>
                <w:lang w:eastAsia="es-MX"/>
              </w:rPr>
              <w:t>Endeudamiento Interno</w:t>
            </w:r>
          </w:p>
        </w:tc>
        <w:tc>
          <w:tcPr>
            <w:tcW w:w="9497" w:type="dxa"/>
            <w:tcBorders>
              <w:top w:val="nil"/>
              <w:left w:val="nil"/>
              <w:bottom w:val="single" w:sz="4" w:space="0" w:color="auto"/>
              <w:right w:val="single" w:sz="4" w:space="0" w:color="auto"/>
            </w:tcBorders>
            <w:shd w:val="clear" w:color="auto" w:fill="auto"/>
            <w:noWrap/>
            <w:vAlign w:val="bottom"/>
          </w:tcPr>
          <w:p w:rsidR="00873948" w:rsidRPr="00E90C39" w:rsidRDefault="00873948" w:rsidP="00873948">
            <w:pPr>
              <w:rPr>
                <w:rFonts w:ascii="Calibri" w:eastAsia="Times New Roman" w:hAnsi="Calibri" w:cs="Calibri"/>
                <w:color w:val="000000"/>
                <w:sz w:val="18"/>
                <w:szCs w:val="18"/>
                <w:lang w:eastAsia="es-MX"/>
              </w:rPr>
            </w:pPr>
          </w:p>
        </w:tc>
      </w:tr>
    </w:tbl>
    <w:p w:rsidR="00E90C39" w:rsidRDefault="00E90C39"/>
    <w:p w:rsidR="001F0DDF" w:rsidRDefault="001F0DDF"/>
    <w:p w:rsidR="001F0DDF" w:rsidRDefault="001F0DDF" w:rsidP="001F0DDF">
      <w:pPr>
        <w:jc w:val="both"/>
      </w:pPr>
      <w:r w:rsidRPr="001F0DDF">
        <w:rPr>
          <w:b/>
          <w:sz w:val="28"/>
          <w:szCs w:val="28"/>
        </w:rPr>
        <w:t>NOTA:</w:t>
      </w:r>
      <w:r>
        <w:t xml:space="preserve"> Los criterios de estimación comprendidos en el presente documento constituyen una guía para elaboración de la Iniciativa de Ley de Ingresos, los cuales podrán ser modificados cuando exista la justificación correspondiente.  Los criterios finalmente adoptados por el Ayuntamiento deberán anexarse a la iniciativa como memoria de cálculo.</w:t>
      </w:r>
    </w:p>
    <w:p w:rsidR="00640FD7" w:rsidRDefault="00640FD7" w:rsidP="001F0DDF">
      <w:pPr>
        <w:jc w:val="both"/>
      </w:pPr>
    </w:p>
    <w:p w:rsidR="00640FD7" w:rsidRDefault="00640FD7" w:rsidP="001F0DDF">
      <w:pPr>
        <w:jc w:val="both"/>
      </w:pPr>
      <w:r>
        <w:t>Se anexan los analíticos históricos de ingresos</w:t>
      </w:r>
      <w:r w:rsidR="00B01399">
        <w:t xml:space="preserve"> de los ejercicios fiscales 20</w:t>
      </w:r>
      <w:r w:rsidR="00323644">
        <w:t>2</w:t>
      </w:r>
      <w:r w:rsidR="00725954">
        <w:t>3</w:t>
      </w:r>
      <w:r>
        <w:t xml:space="preserve"> y </w:t>
      </w:r>
      <w:r w:rsidR="00726EDE">
        <w:t>2024</w:t>
      </w:r>
      <w:r>
        <w:t xml:space="preserve"> para constat</w:t>
      </w:r>
      <w:bookmarkStart w:id="0" w:name="_GoBack"/>
      <w:bookmarkEnd w:id="0"/>
      <w:r>
        <w:t xml:space="preserve">ar la memoria de </w:t>
      </w:r>
      <w:r w:rsidR="00236C81">
        <w:t>cálculo</w:t>
      </w:r>
      <w:r>
        <w:t>.</w:t>
      </w:r>
    </w:p>
    <w:p w:rsidR="0038142F" w:rsidRDefault="0038142F" w:rsidP="001F0DDF">
      <w:pPr>
        <w:jc w:val="both"/>
      </w:pPr>
    </w:p>
    <w:p w:rsidR="0038142F" w:rsidRDefault="0038142F" w:rsidP="001F0DDF">
      <w:pPr>
        <w:jc w:val="both"/>
      </w:pPr>
    </w:p>
    <w:p w:rsidR="00236C81" w:rsidRDefault="00236C81" w:rsidP="001F0DDF">
      <w:pPr>
        <w:jc w:val="both"/>
      </w:pPr>
    </w:p>
    <w:p w:rsidR="0038142F" w:rsidRDefault="0038142F" w:rsidP="001F0DDF">
      <w:pPr>
        <w:jc w:val="both"/>
      </w:pPr>
    </w:p>
    <w:p w:rsidR="0038142F" w:rsidRPr="00D74610" w:rsidRDefault="0038142F" w:rsidP="0038142F">
      <w:pPr>
        <w:jc w:val="center"/>
        <w:rPr>
          <w:b/>
        </w:rPr>
      </w:pPr>
      <w:r w:rsidRPr="00D74610">
        <w:rPr>
          <w:b/>
        </w:rPr>
        <w:t>ATENTAMENTE:</w:t>
      </w:r>
    </w:p>
    <w:p w:rsidR="0038142F" w:rsidRPr="00D74610" w:rsidRDefault="0038142F" w:rsidP="0038142F">
      <w:pPr>
        <w:jc w:val="center"/>
        <w:rPr>
          <w:b/>
        </w:rPr>
      </w:pPr>
    </w:p>
    <w:p w:rsidR="00236C81" w:rsidRDefault="00236C81" w:rsidP="0038142F">
      <w:pPr>
        <w:jc w:val="center"/>
      </w:pPr>
    </w:p>
    <w:p w:rsidR="0038142F" w:rsidRDefault="0038142F" w:rsidP="0038142F">
      <w:pPr>
        <w:jc w:val="center"/>
      </w:pPr>
    </w:p>
    <w:p w:rsidR="0038142F" w:rsidRPr="00D74610" w:rsidRDefault="0038142F" w:rsidP="0038142F">
      <w:pPr>
        <w:jc w:val="center"/>
        <w:rPr>
          <w:b/>
        </w:rPr>
      </w:pPr>
      <w:r w:rsidRPr="00D74610">
        <w:rPr>
          <w:b/>
        </w:rPr>
        <w:t>__________________________</w:t>
      </w:r>
    </w:p>
    <w:p w:rsidR="0038142F" w:rsidRPr="00D74610" w:rsidRDefault="00640FD7" w:rsidP="0038142F">
      <w:pPr>
        <w:jc w:val="center"/>
        <w:rPr>
          <w:b/>
        </w:rPr>
      </w:pPr>
      <w:r w:rsidRPr="00D74610">
        <w:rPr>
          <w:b/>
        </w:rPr>
        <w:t xml:space="preserve">LIC. </w:t>
      </w:r>
      <w:r w:rsidR="003D7AB0">
        <w:rPr>
          <w:b/>
        </w:rPr>
        <w:t>SAUL GOMEZ MUÑOZ</w:t>
      </w:r>
      <w:r w:rsidRPr="00D74610">
        <w:rPr>
          <w:b/>
        </w:rPr>
        <w:t>.</w:t>
      </w:r>
    </w:p>
    <w:p w:rsidR="0038142F" w:rsidRPr="00D74610" w:rsidRDefault="00640FD7" w:rsidP="0038142F">
      <w:pPr>
        <w:jc w:val="center"/>
        <w:rPr>
          <w:b/>
        </w:rPr>
      </w:pPr>
      <w:r w:rsidRPr="00D74610">
        <w:rPr>
          <w:b/>
        </w:rPr>
        <w:t>TESORER</w:t>
      </w:r>
      <w:r w:rsidR="007F762E" w:rsidRPr="00D74610">
        <w:rPr>
          <w:b/>
        </w:rPr>
        <w:t>O</w:t>
      </w:r>
      <w:r w:rsidRPr="00D74610">
        <w:rPr>
          <w:b/>
        </w:rPr>
        <w:t xml:space="preserve"> MUNICIPAL DE PARACUARO.</w:t>
      </w:r>
    </w:p>
    <w:sectPr w:rsidR="0038142F" w:rsidRPr="00D74610" w:rsidSect="00725954">
      <w:pgSz w:w="20163" w:h="12242" w:orient="landscape" w:code="5"/>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65D" w:rsidRDefault="005F365D" w:rsidP="001459EE">
      <w:r>
        <w:separator/>
      </w:r>
    </w:p>
  </w:endnote>
  <w:endnote w:type="continuationSeparator" w:id="0">
    <w:p w:rsidR="005F365D" w:rsidRDefault="005F365D" w:rsidP="0014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65D" w:rsidRDefault="005F365D" w:rsidP="001459EE">
      <w:r>
        <w:separator/>
      </w:r>
    </w:p>
  </w:footnote>
  <w:footnote w:type="continuationSeparator" w:id="0">
    <w:p w:rsidR="005F365D" w:rsidRDefault="005F365D" w:rsidP="00145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3F2"/>
    <w:rsid w:val="00006BDF"/>
    <w:rsid w:val="000725A1"/>
    <w:rsid w:val="001459EE"/>
    <w:rsid w:val="00192C60"/>
    <w:rsid w:val="001F0DDF"/>
    <w:rsid w:val="00236C81"/>
    <w:rsid w:val="00244707"/>
    <w:rsid w:val="00264079"/>
    <w:rsid w:val="00264C5B"/>
    <w:rsid w:val="002B0DFE"/>
    <w:rsid w:val="002C45D4"/>
    <w:rsid w:val="00300CF9"/>
    <w:rsid w:val="0030546B"/>
    <w:rsid w:val="00322B21"/>
    <w:rsid w:val="00323644"/>
    <w:rsid w:val="0038142F"/>
    <w:rsid w:val="003D7AB0"/>
    <w:rsid w:val="00403094"/>
    <w:rsid w:val="00443CD7"/>
    <w:rsid w:val="00446DE5"/>
    <w:rsid w:val="00545726"/>
    <w:rsid w:val="00586473"/>
    <w:rsid w:val="005953F2"/>
    <w:rsid w:val="00595C14"/>
    <w:rsid w:val="005C034A"/>
    <w:rsid w:val="005C7C2D"/>
    <w:rsid w:val="005F365D"/>
    <w:rsid w:val="00640FD7"/>
    <w:rsid w:val="006E3234"/>
    <w:rsid w:val="00715F28"/>
    <w:rsid w:val="00725954"/>
    <w:rsid w:val="00726EDE"/>
    <w:rsid w:val="00735E95"/>
    <w:rsid w:val="007D54BC"/>
    <w:rsid w:val="007F39D0"/>
    <w:rsid w:val="007F762E"/>
    <w:rsid w:val="00805A01"/>
    <w:rsid w:val="00810560"/>
    <w:rsid w:val="00814C99"/>
    <w:rsid w:val="00873948"/>
    <w:rsid w:val="008A5D54"/>
    <w:rsid w:val="008B4343"/>
    <w:rsid w:val="008E515C"/>
    <w:rsid w:val="009232CE"/>
    <w:rsid w:val="0092615B"/>
    <w:rsid w:val="0095780C"/>
    <w:rsid w:val="00961137"/>
    <w:rsid w:val="00981894"/>
    <w:rsid w:val="009973AC"/>
    <w:rsid w:val="009D2FE1"/>
    <w:rsid w:val="00A74D90"/>
    <w:rsid w:val="00AF73D9"/>
    <w:rsid w:val="00B01399"/>
    <w:rsid w:val="00B422E9"/>
    <w:rsid w:val="00B7126C"/>
    <w:rsid w:val="00B87CA3"/>
    <w:rsid w:val="00BB2008"/>
    <w:rsid w:val="00C2416C"/>
    <w:rsid w:val="00C2742C"/>
    <w:rsid w:val="00CB6BA1"/>
    <w:rsid w:val="00CC44D3"/>
    <w:rsid w:val="00D61BE9"/>
    <w:rsid w:val="00D74610"/>
    <w:rsid w:val="00D81195"/>
    <w:rsid w:val="00DE706C"/>
    <w:rsid w:val="00E33E34"/>
    <w:rsid w:val="00E75275"/>
    <w:rsid w:val="00E90C39"/>
    <w:rsid w:val="00EA5427"/>
    <w:rsid w:val="00F15BD1"/>
    <w:rsid w:val="00F545A8"/>
    <w:rsid w:val="00F82C57"/>
    <w:rsid w:val="00F833EE"/>
    <w:rsid w:val="00FC27CB"/>
    <w:rsid w:val="00FC62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2B23"/>
  <w15:docId w15:val="{0A9C9917-0FD4-42D4-A40C-5C1E785E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C7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459EE"/>
    <w:pPr>
      <w:tabs>
        <w:tab w:val="center" w:pos="4419"/>
        <w:tab w:val="right" w:pos="8838"/>
      </w:tabs>
    </w:pPr>
  </w:style>
  <w:style w:type="character" w:customStyle="1" w:styleId="EncabezadoCar">
    <w:name w:val="Encabezado Car"/>
    <w:basedOn w:val="Fuentedeprrafopredeter"/>
    <w:link w:val="Encabezado"/>
    <w:uiPriority w:val="99"/>
    <w:rsid w:val="001459EE"/>
  </w:style>
  <w:style w:type="paragraph" w:styleId="Piedepgina">
    <w:name w:val="footer"/>
    <w:basedOn w:val="Normal"/>
    <w:link w:val="PiedepginaCar"/>
    <w:uiPriority w:val="99"/>
    <w:semiHidden/>
    <w:unhideWhenUsed/>
    <w:rsid w:val="001459EE"/>
    <w:pPr>
      <w:tabs>
        <w:tab w:val="center" w:pos="4419"/>
        <w:tab w:val="right" w:pos="8838"/>
      </w:tabs>
    </w:pPr>
  </w:style>
  <w:style w:type="character" w:customStyle="1" w:styleId="PiedepginaCar">
    <w:name w:val="Pie de página Car"/>
    <w:basedOn w:val="Fuentedeprrafopredeter"/>
    <w:link w:val="Piedepgina"/>
    <w:uiPriority w:val="99"/>
    <w:semiHidden/>
    <w:rsid w:val="001459EE"/>
  </w:style>
  <w:style w:type="paragraph" w:styleId="Textodeglobo">
    <w:name w:val="Balloon Text"/>
    <w:basedOn w:val="Normal"/>
    <w:link w:val="TextodegloboCar"/>
    <w:uiPriority w:val="99"/>
    <w:semiHidden/>
    <w:unhideWhenUsed/>
    <w:rsid w:val="001459EE"/>
    <w:rPr>
      <w:rFonts w:ascii="Tahoma" w:hAnsi="Tahoma" w:cs="Tahoma"/>
      <w:sz w:val="16"/>
      <w:szCs w:val="16"/>
    </w:rPr>
  </w:style>
  <w:style w:type="character" w:customStyle="1" w:styleId="TextodegloboCar">
    <w:name w:val="Texto de globo Car"/>
    <w:basedOn w:val="Fuentedeprrafopredeter"/>
    <w:link w:val="Textodeglobo"/>
    <w:uiPriority w:val="99"/>
    <w:semiHidden/>
    <w:rsid w:val="00145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72379">
      <w:bodyDiv w:val="1"/>
      <w:marLeft w:val="0"/>
      <w:marRight w:val="0"/>
      <w:marTop w:val="0"/>
      <w:marBottom w:val="0"/>
      <w:divBdr>
        <w:top w:val="none" w:sz="0" w:space="0" w:color="auto"/>
        <w:left w:val="none" w:sz="0" w:space="0" w:color="auto"/>
        <w:bottom w:val="none" w:sz="0" w:space="0" w:color="auto"/>
        <w:right w:val="none" w:sz="0" w:space="0" w:color="auto"/>
      </w:divBdr>
    </w:div>
    <w:div w:id="1118375368">
      <w:bodyDiv w:val="1"/>
      <w:marLeft w:val="0"/>
      <w:marRight w:val="0"/>
      <w:marTop w:val="0"/>
      <w:marBottom w:val="0"/>
      <w:divBdr>
        <w:top w:val="none" w:sz="0" w:space="0" w:color="auto"/>
        <w:left w:val="none" w:sz="0" w:space="0" w:color="auto"/>
        <w:bottom w:val="none" w:sz="0" w:space="0" w:color="auto"/>
        <w:right w:val="none" w:sz="0" w:space="0" w:color="auto"/>
      </w:divBdr>
    </w:div>
    <w:div w:id="189985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2067</Words>
  <Characters>11369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dc:creator>
  <cp:lastModifiedBy>Oficina</cp:lastModifiedBy>
  <cp:revision>5</cp:revision>
  <cp:lastPrinted>2024-10-07T16:51:00Z</cp:lastPrinted>
  <dcterms:created xsi:type="dcterms:W3CDTF">2023-09-11T18:19:00Z</dcterms:created>
  <dcterms:modified xsi:type="dcterms:W3CDTF">2024-10-07T16:52:00Z</dcterms:modified>
</cp:coreProperties>
</file>